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75B" w:rsidRDefault="00D2575B" w:rsidP="00983EDB">
      <w:pPr>
        <w:jc w:val="center"/>
        <w:rPr>
          <w:b/>
          <w:bCs/>
          <w:sz w:val="28"/>
          <w:szCs w:val="28"/>
        </w:rPr>
      </w:pPr>
      <w:r w:rsidRPr="00D2575B">
        <w:rPr>
          <w:b/>
          <w:bCs/>
          <w:sz w:val="28"/>
          <w:szCs w:val="28"/>
        </w:rPr>
        <w:drawing>
          <wp:anchor distT="0" distB="0" distL="114300" distR="114300" simplePos="0" relativeHeight="251659264" behindDoc="0" locked="0" layoutInCell="1" allowOverlap="1">
            <wp:simplePos x="0" y="0"/>
            <wp:positionH relativeFrom="column">
              <wp:posOffset>4639628</wp:posOffset>
            </wp:positionH>
            <wp:positionV relativeFrom="paragraph">
              <wp:posOffset>-414020</wp:posOffset>
            </wp:positionV>
            <wp:extent cx="1109662" cy="694745"/>
            <wp:effectExtent l="1905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4"/>
                    <a:srcRect/>
                    <a:stretch>
                      <a:fillRect/>
                    </a:stretch>
                  </pic:blipFill>
                  <pic:spPr bwMode="auto">
                    <a:xfrm>
                      <a:off x="0" y="0"/>
                      <a:ext cx="1113642" cy="697237"/>
                    </a:xfrm>
                    <a:prstGeom prst="rect">
                      <a:avLst/>
                    </a:prstGeom>
                    <a:noFill/>
                    <a:ln w="9525">
                      <a:noFill/>
                      <a:miter lim="800000"/>
                      <a:headEnd/>
                      <a:tailEnd/>
                    </a:ln>
                  </pic:spPr>
                </pic:pic>
              </a:graphicData>
            </a:graphic>
          </wp:anchor>
        </w:drawing>
      </w:r>
    </w:p>
    <w:p w:rsidR="00983EDB" w:rsidRPr="00983EDB" w:rsidRDefault="00983EDB" w:rsidP="00983EDB">
      <w:pPr>
        <w:jc w:val="center"/>
        <w:rPr>
          <w:b/>
          <w:bCs/>
          <w:sz w:val="28"/>
          <w:szCs w:val="28"/>
        </w:rPr>
      </w:pPr>
      <w:r w:rsidRPr="00983EDB">
        <w:rPr>
          <w:b/>
          <w:bCs/>
          <w:sz w:val="28"/>
          <w:szCs w:val="28"/>
        </w:rPr>
        <w:t>Inversión pública en publicidad y propaganda</w:t>
      </w:r>
    </w:p>
    <w:p w:rsidR="007D1D0F" w:rsidRPr="007D1D0F" w:rsidRDefault="007D1D0F" w:rsidP="007D1D0F">
      <w:pPr>
        <w:rPr>
          <w:b/>
          <w:bCs/>
        </w:rPr>
      </w:pPr>
      <w:r w:rsidRPr="007D1D0F">
        <w:rPr>
          <w:b/>
          <w:bCs/>
        </w:rPr>
        <w:t>En cumplimiento al artículo 95 de la Ley Orgánica de Comunicación</w:t>
      </w:r>
    </w:p>
    <w:p w:rsidR="007D1D0F" w:rsidRPr="007D1D0F" w:rsidRDefault="007D1D0F" w:rsidP="007D1D0F">
      <w:r w:rsidRPr="007D1D0F">
        <w:t>"Las entidades del sector público que contraten servicios de publicidad y propaganda en los medios de comunicación social se guiarán en función de criterios de igualdad de oportunidades con atención al objeto de la comunicación, el público objetivo, a la jurisdicción territorial de la entidad y a los niveles de audiencia y sintonía. Se garantizará que los medios de menor cobertura o tiraje, así como los domiciliados en sectores rurales, participen de la publicidad y propaganda estatal.</w:t>
      </w:r>
    </w:p>
    <w:p w:rsidR="007D1D0F" w:rsidRPr="007D1D0F" w:rsidRDefault="007D1D0F" w:rsidP="007D1D0F">
      <w:r w:rsidRPr="007D1D0F">
        <w:t>Las entidades del sector público elaborarán anualmente un informe de distribución del gasto en publicidad contratado en cada medio de comunicación. Este informe se publicará en la página web de cada institución.</w:t>
      </w:r>
    </w:p>
    <w:p w:rsidR="007D1D0F" w:rsidRPr="007D1D0F" w:rsidRDefault="007D1D0F" w:rsidP="007D1D0F">
      <w:r w:rsidRPr="007D1D0F">
        <w:t>La falta de cumplimiento de esta obligación por parte del titular de cada institución pública se sancionará por la Superintendencia de la Información y la Comunicación con una multa equivalente al 35% del total de la remuneración mensual de este funcionario, sin perjuicio de que se publique el informe en el plazo de treinta días.</w:t>
      </w:r>
    </w:p>
    <w:p w:rsidR="005C4AC1" w:rsidRPr="005C4AC1" w:rsidRDefault="007D1D0F" w:rsidP="007D1D0F">
      <w:r w:rsidRPr="007D1D0F">
        <w:t>El incumplimiento del deber de publicar el informe en el plazo de treinta días, señalado en el párrafo anterior, será causal de destitución del titular de la institución."</w:t>
      </w:r>
    </w:p>
    <w:p w:rsidR="00D2575B" w:rsidRDefault="00D2575B" w:rsidP="007D1D0F">
      <w:pPr>
        <w:rPr>
          <w:b/>
          <w:bCs/>
        </w:rPr>
      </w:pPr>
    </w:p>
    <w:p w:rsidR="007D1D0F" w:rsidRPr="007D1D0F" w:rsidRDefault="005C4AC1" w:rsidP="007D1D0F">
      <w:pPr>
        <w:rPr>
          <w:b/>
          <w:bCs/>
        </w:rPr>
      </w:pPr>
      <w:r w:rsidRPr="007D1D0F">
        <w:rPr>
          <w:b/>
          <w:bCs/>
        </w:rPr>
        <w:t>DIFUSIÓN PUBLICITARIA 2017</w:t>
      </w:r>
    </w:p>
    <w:p w:rsidR="007D1D0F" w:rsidRDefault="007D1D0F">
      <w:r>
        <w:t xml:space="preserve">El Servicio Integrado de Seguridad ECU 911 pone en conocimiento de la ciudadanía el informe de inversión publicitaria de 2017, en cumplimiento del artículo 95 de la Ley </w:t>
      </w:r>
      <w:r w:rsidR="00983EDB">
        <w:t>Orgánica</w:t>
      </w:r>
      <w:r>
        <w:t xml:space="preserve"> de Comunicación (LOC)</w:t>
      </w:r>
      <w:r w:rsidR="00D2575B">
        <w:t>.</w:t>
      </w:r>
      <w:r>
        <w:t xml:space="preserve"> </w:t>
      </w:r>
    </w:p>
    <w:tbl>
      <w:tblPr>
        <w:tblStyle w:val="Tablaconcuadrcula"/>
        <w:tblW w:w="0" w:type="auto"/>
        <w:tblLook w:val="04A0"/>
      </w:tblPr>
      <w:tblGrid>
        <w:gridCol w:w="1440"/>
        <w:gridCol w:w="1440"/>
        <w:gridCol w:w="1441"/>
        <w:gridCol w:w="1441"/>
        <w:gridCol w:w="1441"/>
        <w:gridCol w:w="1441"/>
      </w:tblGrid>
      <w:tr w:rsidR="007D1D0F" w:rsidTr="002840F9">
        <w:tc>
          <w:tcPr>
            <w:tcW w:w="8644" w:type="dxa"/>
            <w:gridSpan w:val="6"/>
          </w:tcPr>
          <w:p w:rsidR="007D1D0F" w:rsidRPr="007D1D0F" w:rsidRDefault="007D1D0F" w:rsidP="007D1D0F">
            <w:pPr>
              <w:jc w:val="center"/>
              <w:rPr>
                <w:b/>
              </w:rPr>
            </w:pPr>
            <w:r w:rsidRPr="007D1D0F">
              <w:rPr>
                <w:b/>
              </w:rPr>
              <w:t>INVERSIÓN CONSOLIDADA</w:t>
            </w:r>
          </w:p>
        </w:tc>
      </w:tr>
      <w:tr w:rsidR="007D1D0F" w:rsidTr="005D1BCD">
        <w:tc>
          <w:tcPr>
            <w:tcW w:w="1440" w:type="dxa"/>
            <w:vMerge w:val="restart"/>
          </w:tcPr>
          <w:p w:rsidR="007D1D0F" w:rsidRPr="007D1D0F" w:rsidRDefault="007D1D0F" w:rsidP="007D1D0F">
            <w:pPr>
              <w:spacing w:line="276" w:lineRule="auto"/>
              <w:jc w:val="center"/>
              <w:rPr>
                <w:b/>
              </w:rPr>
            </w:pPr>
            <w:r w:rsidRPr="007D1D0F">
              <w:rPr>
                <w:b/>
              </w:rPr>
              <w:t>MEDIO</w:t>
            </w:r>
          </w:p>
        </w:tc>
        <w:tc>
          <w:tcPr>
            <w:tcW w:w="2881" w:type="dxa"/>
            <w:gridSpan w:val="2"/>
          </w:tcPr>
          <w:p w:rsidR="007D1D0F" w:rsidRPr="007D1D0F" w:rsidRDefault="007D1D0F" w:rsidP="007D1D0F">
            <w:pPr>
              <w:jc w:val="center"/>
              <w:rPr>
                <w:b/>
              </w:rPr>
            </w:pPr>
            <w:r w:rsidRPr="007D1D0F">
              <w:rPr>
                <w:b/>
              </w:rPr>
              <w:t>INVERSIÓN NACIONAL</w:t>
            </w:r>
          </w:p>
        </w:tc>
        <w:tc>
          <w:tcPr>
            <w:tcW w:w="2882" w:type="dxa"/>
            <w:gridSpan w:val="2"/>
          </w:tcPr>
          <w:p w:rsidR="007D1D0F" w:rsidRPr="007D1D0F" w:rsidRDefault="00983EDB" w:rsidP="007D1D0F">
            <w:pPr>
              <w:jc w:val="center"/>
              <w:rPr>
                <w:b/>
              </w:rPr>
            </w:pPr>
            <w:r>
              <w:rPr>
                <w:b/>
              </w:rPr>
              <w:t>INVERSIÓN LOC</w:t>
            </w:r>
            <w:r w:rsidR="007D1D0F" w:rsidRPr="007D1D0F">
              <w:rPr>
                <w:b/>
              </w:rPr>
              <w:t>AL</w:t>
            </w:r>
          </w:p>
        </w:tc>
        <w:tc>
          <w:tcPr>
            <w:tcW w:w="1441" w:type="dxa"/>
            <w:vMerge w:val="restart"/>
          </w:tcPr>
          <w:p w:rsidR="007D1D0F" w:rsidRPr="007D1D0F" w:rsidRDefault="007D1D0F" w:rsidP="007D1D0F">
            <w:pPr>
              <w:jc w:val="center"/>
              <w:rPr>
                <w:b/>
              </w:rPr>
            </w:pPr>
            <w:r w:rsidRPr="007D1D0F">
              <w:rPr>
                <w:b/>
              </w:rPr>
              <w:t>TOTAL</w:t>
            </w:r>
          </w:p>
        </w:tc>
      </w:tr>
      <w:tr w:rsidR="007D1D0F" w:rsidTr="007D1D0F">
        <w:tc>
          <w:tcPr>
            <w:tcW w:w="1440" w:type="dxa"/>
            <w:vMerge/>
          </w:tcPr>
          <w:p w:rsidR="007D1D0F" w:rsidRDefault="007D1D0F" w:rsidP="007D1D0F"/>
        </w:tc>
        <w:tc>
          <w:tcPr>
            <w:tcW w:w="1440" w:type="dxa"/>
          </w:tcPr>
          <w:p w:rsidR="007D1D0F" w:rsidRDefault="007D1D0F" w:rsidP="007D1D0F">
            <w:pPr>
              <w:jc w:val="center"/>
            </w:pPr>
            <w:r>
              <w:t>Valor</w:t>
            </w:r>
          </w:p>
        </w:tc>
        <w:tc>
          <w:tcPr>
            <w:tcW w:w="1441" w:type="dxa"/>
          </w:tcPr>
          <w:p w:rsidR="007D1D0F" w:rsidRDefault="007D1D0F" w:rsidP="007D1D0F">
            <w:pPr>
              <w:jc w:val="center"/>
            </w:pPr>
            <w:r>
              <w:t>%</w:t>
            </w:r>
          </w:p>
        </w:tc>
        <w:tc>
          <w:tcPr>
            <w:tcW w:w="1441" w:type="dxa"/>
          </w:tcPr>
          <w:p w:rsidR="007D1D0F" w:rsidRDefault="007D1D0F" w:rsidP="004B200F">
            <w:pPr>
              <w:jc w:val="center"/>
            </w:pPr>
            <w:r>
              <w:t>Valor</w:t>
            </w:r>
          </w:p>
        </w:tc>
        <w:tc>
          <w:tcPr>
            <w:tcW w:w="1441" w:type="dxa"/>
          </w:tcPr>
          <w:p w:rsidR="007D1D0F" w:rsidRDefault="007D1D0F" w:rsidP="004B200F">
            <w:pPr>
              <w:jc w:val="center"/>
            </w:pPr>
            <w:r>
              <w:t>%</w:t>
            </w:r>
          </w:p>
        </w:tc>
        <w:tc>
          <w:tcPr>
            <w:tcW w:w="1441" w:type="dxa"/>
            <w:vMerge/>
          </w:tcPr>
          <w:p w:rsidR="007D1D0F" w:rsidRDefault="007D1D0F" w:rsidP="007D1D0F"/>
        </w:tc>
      </w:tr>
      <w:tr w:rsidR="007D1D0F" w:rsidTr="007D1D0F">
        <w:tc>
          <w:tcPr>
            <w:tcW w:w="1440" w:type="dxa"/>
          </w:tcPr>
          <w:p w:rsidR="007D1D0F" w:rsidRDefault="007D1D0F" w:rsidP="007D1D0F">
            <w:r>
              <w:t xml:space="preserve">Televisión </w:t>
            </w:r>
          </w:p>
        </w:tc>
        <w:tc>
          <w:tcPr>
            <w:tcW w:w="1440" w:type="dxa"/>
          </w:tcPr>
          <w:p w:rsidR="007D1D0F" w:rsidRDefault="00983EDB" w:rsidP="00983EDB">
            <w:pPr>
              <w:jc w:val="center"/>
            </w:pPr>
            <w:r>
              <w:t>0</w:t>
            </w:r>
          </w:p>
        </w:tc>
        <w:tc>
          <w:tcPr>
            <w:tcW w:w="1441" w:type="dxa"/>
          </w:tcPr>
          <w:p w:rsidR="007D1D0F" w:rsidRDefault="00983EDB" w:rsidP="00983EDB">
            <w:pPr>
              <w:jc w:val="center"/>
            </w:pPr>
            <w:r>
              <w:t>-</w:t>
            </w:r>
          </w:p>
        </w:tc>
        <w:tc>
          <w:tcPr>
            <w:tcW w:w="1441" w:type="dxa"/>
          </w:tcPr>
          <w:p w:rsidR="007D1D0F" w:rsidRDefault="00983EDB" w:rsidP="00983EDB">
            <w:pPr>
              <w:jc w:val="center"/>
            </w:pPr>
            <w:r>
              <w:t>0</w:t>
            </w:r>
          </w:p>
        </w:tc>
        <w:tc>
          <w:tcPr>
            <w:tcW w:w="1441" w:type="dxa"/>
          </w:tcPr>
          <w:p w:rsidR="007D1D0F" w:rsidRDefault="00983EDB" w:rsidP="00983EDB">
            <w:pPr>
              <w:jc w:val="center"/>
            </w:pPr>
            <w:r>
              <w:t>-</w:t>
            </w:r>
          </w:p>
        </w:tc>
        <w:tc>
          <w:tcPr>
            <w:tcW w:w="1441" w:type="dxa"/>
          </w:tcPr>
          <w:p w:rsidR="007D1D0F" w:rsidRDefault="00983EDB" w:rsidP="00983EDB">
            <w:pPr>
              <w:jc w:val="center"/>
            </w:pPr>
            <w:r>
              <w:t>0</w:t>
            </w:r>
          </w:p>
        </w:tc>
      </w:tr>
      <w:tr w:rsidR="007D1D0F" w:rsidTr="007D1D0F">
        <w:tc>
          <w:tcPr>
            <w:tcW w:w="1440" w:type="dxa"/>
          </w:tcPr>
          <w:p w:rsidR="007D1D0F" w:rsidRDefault="007D1D0F" w:rsidP="007D1D0F">
            <w:r>
              <w:t>Radio</w:t>
            </w:r>
          </w:p>
        </w:tc>
        <w:tc>
          <w:tcPr>
            <w:tcW w:w="1440" w:type="dxa"/>
          </w:tcPr>
          <w:p w:rsidR="007D1D0F" w:rsidRDefault="00983EDB" w:rsidP="00983EDB">
            <w:pPr>
              <w:jc w:val="center"/>
            </w:pPr>
            <w:r>
              <w:t>0</w:t>
            </w:r>
          </w:p>
        </w:tc>
        <w:tc>
          <w:tcPr>
            <w:tcW w:w="1441" w:type="dxa"/>
          </w:tcPr>
          <w:p w:rsidR="007D1D0F" w:rsidRDefault="00983EDB" w:rsidP="00983EDB">
            <w:pPr>
              <w:jc w:val="center"/>
            </w:pPr>
            <w:r>
              <w:t>-</w:t>
            </w:r>
          </w:p>
        </w:tc>
        <w:tc>
          <w:tcPr>
            <w:tcW w:w="1441" w:type="dxa"/>
          </w:tcPr>
          <w:p w:rsidR="007D1D0F" w:rsidRDefault="00983EDB" w:rsidP="00983EDB">
            <w:pPr>
              <w:jc w:val="center"/>
            </w:pPr>
            <w:r>
              <w:t>0</w:t>
            </w:r>
          </w:p>
        </w:tc>
        <w:tc>
          <w:tcPr>
            <w:tcW w:w="1441" w:type="dxa"/>
          </w:tcPr>
          <w:p w:rsidR="007D1D0F" w:rsidRDefault="00983EDB" w:rsidP="00983EDB">
            <w:pPr>
              <w:jc w:val="center"/>
            </w:pPr>
            <w:r>
              <w:t>-</w:t>
            </w:r>
          </w:p>
        </w:tc>
        <w:tc>
          <w:tcPr>
            <w:tcW w:w="1441" w:type="dxa"/>
          </w:tcPr>
          <w:p w:rsidR="007D1D0F" w:rsidRDefault="00983EDB" w:rsidP="00983EDB">
            <w:pPr>
              <w:jc w:val="center"/>
            </w:pPr>
            <w:r>
              <w:t>0</w:t>
            </w:r>
          </w:p>
        </w:tc>
      </w:tr>
      <w:tr w:rsidR="007D1D0F" w:rsidTr="007D1D0F">
        <w:tc>
          <w:tcPr>
            <w:tcW w:w="1440" w:type="dxa"/>
          </w:tcPr>
          <w:p w:rsidR="007D1D0F" w:rsidRDefault="007D1D0F" w:rsidP="007D1D0F">
            <w:r>
              <w:t>Total</w:t>
            </w:r>
          </w:p>
        </w:tc>
        <w:tc>
          <w:tcPr>
            <w:tcW w:w="1440" w:type="dxa"/>
          </w:tcPr>
          <w:p w:rsidR="007D1D0F" w:rsidRDefault="00983EDB" w:rsidP="00983EDB">
            <w:pPr>
              <w:jc w:val="center"/>
            </w:pPr>
            <w:r>
              <w:t>0</w:t>
            </w:r>
          </w:p>
        </w:tc>
        <w:tc>
          <w:tcPr>
            <w:tcW w:w="1441" w:type="dxa"/>
          </w:tcPr>
          <w:p w:rsidR="007D1D0F" w:rsidRDefault="00983EDB" w:rsidP="00983EDB">
            <w:pPr>
              <w:jc w:val="center"/>
            </w:pPr>
            <w:r>
              <w:t>-</w:t>
            </w:r>
          </w:p>
        </w:tc>
        <w:tc>
          <w:tcPr>
            <w:tcW w:w="1441" w:type="dxa"/>
          </w:tcPr>
          <w:p w:rsidR="007D1D0F" w:rsidRDefault="00983EDB" w:rsidP="00983EDB">
            <w:pPr>
              <w:jc w:val="center"/>
            </w:pPr>
            <w:r>
              <w:t>0</w:t>
            </w:r>
          </w:p>
        </w:tc>
        <w:tc>
          <w:tcPr>
            <w:tcW w:w="1441" w:type="dxa"/>
          </w:tcPr>
          <w:p w:rsidR="007D1D0F" w:rsidRDefault="00983EDB" w:rsidP="00983EDB">
            <w:pPr>
              <w:jc w:val="center"/>
            </w:pPr>
            <w:r>
              <w:t>-</w:t>
            </w:r>
          </w:p>
        </w:tc>
        <w:tc>
          <w:tcPr>
            <w:tcW w:w="1441" w:type="dxa"/>
          </w:tcPr>
          <w:p w:rsidR="007D1D0F" w:rsidRDefault="00983EDB" w:rsidP="00983EDB">
            <w:pPr>
              <w:jc w:val="center"/>
            </w:pPr>
            <w:r>
              <w:t>0</w:t>
            </w:r>
          </w:p>
        </w:tc>
      </w:tr>
    </w:tbl>
    <w:p w:rsidR="007D1D0F" w:rsidRPr="007D1D0F" w:rsidRDefault="007D1D0F" w:rsidP="007D1D0F"/>
    <w:p w:rsidR="007D1D0F" w:rsidRDefault="007D1D0F"/>
    <w:p w:rsidR="007D1D0F" w:rsidRDefault="007D1D0F">
      <w:r>
        <w:t xml:space="preserve"> </w:t>
      </w:r>
    </w:p>
    <w:sectPr w:rsidR="007D1D0F" w:rsidSect="00DE6B5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proofState w:spelling="clean" w:grammar="clean"/>
  <w:defaultTabStop w:val="708"/>
  <w:hyphenationZone w:val="425"/>
  <w:characterSpacingControl w:val="doNotCompress"/>
  <w:compat/>
  <w:rsids>
    <w:rsidRoot w:val="007D1D0F"/>
    <w:rsid w:val="005C4AC1"/>
    <w:rsid w:val="007D1D0F"/>
    <w:rsid w:val="00942F30"/>
    <w:rsid w:val="00983EDB"/>
    <w:rsid w:val="00D2575B"/>
    <w:rsid w:val="00DE6B5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6B5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D1D0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3558430">
      <w:bodyDiv w:val="1"/>
      <w:marLeft w:val="0"/>
      <w:marRight w:val="0"/>
      <w:marTop w:val="0"/>
      <w:marBottom w:val="0"/>
      <w:divBdr>
        <w:top w:val="none" w:sz="0" w:space="0" w:color="auto"/>
        <w:left w:val="none" w:sz="0" w:space="0" w:color="auto"/>
        <w:bottom w:val="none" w:sz="0" w:space="0" w:color="auto"/>
        <w:right w:val="none" w:sz="0" w:space="0" w:color="auto"/>
      </w:divBdr>
    </w:div>
    <w:div w:id="793862145">
      <w:bodyDiv w:val="1"/>
      <w:marLeft w:val="0"/>
      <w:marRight w:val="0"/>
      <w:marTop w:val="0"/>
      <w:marBottom w:val="0"/>
      <w:divBdr>
        <w:top w:val="none" w:sz="0" w:space="0" w:color="auto"/>
        <w:left w:val="none" w:sz="0" w:space="0" w:color="auto"/>
        <w:bottom w:val="none" w:sz="0" w:space="0" w:color="auto"/>
        <w:right w:val="none" w:sz="0" w:space="0" w:color="auto"/>
      </w:divBdr>
    </w:div>
    <w:div w:id="1534416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1</Pages>
  <Words>261</Words>
  <Characters>1440</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2018-11-16T14:28:00Z</dcterms:created>
  <dcterms:modified xsi:type="dcterms:W3CDTF">2018-11-16T22:02:00Z</dcterms:modified>
</cp:coreProperties>
</file>